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852609" Type="http://schemas.openxmlformats.org/officeDocument/2006/relationships/officeDocument" Target="/word/document.xml" /><Relationship Id="coreR528526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3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 xml:space="preserve">Operativo </w:t>
      </w:r>
      <w:r>
        <w:rPr>
          <w:rStyle w:val="C3"/>
          <w:rFonts w:ascii="Arial" w:hAnsi="Arial"/>
          <w:b w:val="1"/>
          <w:sz w:val="28"/>
        </w:rPr>
        <w:t>1D</w:t>
      </w:r>
      <w:r>
        <w:rPr>
          <w:rStyle w:val="C3"/>
          <w:rFonts w:ascii="Arial" w:hAnsi="Arial"/>
          <w:b w:val="1"/>
          <w:sz w:val="28"/>
        </w:rPr>
        <w:t xml:space="preserve"> 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“</w:t>
      </w:r>
      <w:r>
        <w:rPr>
          <w:rStyle w:val="C3"/>
          <w:rFonts w:ascii="Arial" w:hAnsi="Arial"/>
          <w:b w:val="1"/>
          <w:sz w:val="28"/>
        </w:rPr>
        <w:t>Operador Equipo Especial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operativas, está asignada administrativamente el Subproceso Gestión Ambiental (Tratamiento de Desechos Sólidos”, y el cargo a desempeñar es Operador Equipo Especializado.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402.100.00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12.063.00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</w:rPr>
        <w:t>Tercer ciclo de la e</w:t>
      </w:r>
      <w:r>
        <w:rPr>
          <w:rStyle w:val="C3"/>
          <w:rFonts w:ascii="Arial" w:hAnsi="Arial"/>
          <w:sz w:val="18"/>
        </w:rPr>
        <w:t>nseñanza General Básica Aprobada (Tercer año de colegio).</w:t>
      </w: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</w:t>
      </w: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                                                        *Preparación equivalente</w:t>
      </w: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sz w:val="18"/>
        </w:rPr>
        <w:tab/>
        <w:t>Licencia de conducir al día (D3) y con un mínimo de 2 años de expedida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De 2 años de experiencia en labores propias del cargo, que se tomara a partir de la fecha de expedición de la licencia y debe ser debidamente certificada</w:t>
      </w: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Resistencia a la fatiga y trabajo rutinario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Lealtad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Atención al detalle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Orientación hacia el logro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riesgo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Buenas condiciones físicas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t>Capacidad para el trabajo en equipo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Servicio al cliente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Relaciones Humanas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Primeros auxilios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</w:rPr>
        <w:t xml:space="preserve">Observación: *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Tercer Ciclo aprobado de la Enseñanza General Básica, por un período de dos a tres años de experiencia en la operación de vehículos pesados y especializados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45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457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3B6D734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7E7606C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6538D26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6E395C3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20BCC290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277E04B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E7E2F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1EB96B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077E00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D272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FB8F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1104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B36B1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4B6C493B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3F2149B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2D9FD32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1B19771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5CD6762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76A41D1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10DFF879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6707922E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0CCE396E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70FCF51D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6851E262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1E03E34D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3159E730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603485F9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1594FBB8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624F55F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2F5BF4B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3C1A7EA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892AF0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847D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89482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D92CB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0C9FB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D9AFB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07BBEAE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76AE2BF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109B5D89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6B544B54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5F846D0F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743E804E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26AA85A6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118AF62C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42870C83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5ED1A8DA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3FB02964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5EFB9E5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663B5C28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31C4F81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2B878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6B280D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28515CAB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7CE40DD0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2E9F3AE0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0D7912A9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7CE6F00B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503579E6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6F62DB5F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47497EBB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7A52E741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2F9C40B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2016-07-01T16:27:00Z</dcterms:created>
  <cp:lastModifiedBy>Ruben Mora Vargas</cp:lastModifiedBy>
  <cp:lastPrinted>2015-03-24T20:28:00Z</cp:lastPrinted>
  <dcterms:modified xsi:type="dcterms:W3CDTF">2025-07-28T20:04:11Z</dcterms:modified>
  <cp:revision>4</cp:revision>
  <dc:title> </dc:title>
</cp:coreProperties>
</file>