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03D" w:rsidRDefault="0007203D" w:rsidP="0007203D">
      <w:pPr>
        <w:pStyle w:val="Ttulo1"/>
        <w:jc w:val="center"/>
        <w:rPr>
          <w:rFonts w:ascii="Arial" w:hAnsi="Arial" w:cs="Arial"/>
          <w:b/>
          <w:sz w:val="28"/>
          <w:szCs w:val="28"/>
        </w:rPr>
      </w:pPr>
    </w:p>
    <w:p w:rsidR="0007203D" w:rsidRDefault="0007203D" w:rsidP="0007203D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 DE MODIFICACIÓN</w:t>
      </w:r>
    </w:p>
    <w:p w:rsidR="0007203D" w:rsidRDefault="0007203D" w:rsidP="0007203D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LICENCIA MUNICIPAL</w:t>
      </w: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</w:p>
    <w:p w:rsidR="0007203D" w:rsidRDefault="0007203D" w:rsidP="0007203D">
      <w:pPr>
        <w:pStyle w:val="Encabezad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 </w:t>
      </w: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Licencias y Patentes </w:t>
      </w:r>
    </w:p>
    <w:p w:rsidR="0007203D" w:rsidRDefault="0007203D" w:rsidP="0007203D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07203D" w:rsidRDefault="0007203D" w:rsidP="0007203D">
      <w:pPr>
        <w:pStyle w:val="Textoindependiente"/>
        <w:ind w:right="4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ind w:right="4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ind w:right="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___________________________________________________________, cédula N°____________________, solicito se me autorice modificar los datos de la(s) licencias(s) municipal(es), la(s) cual(es), se encuentra(n), a mi nombre.  Dicha(s) licencia(s) tiene(n) las siguientes características:</w:t>
      </w:r>
    </w:p>
    <w:p w:rsidR="0007203D" w:rsidRDefault="0007203D" w:rsidP="0007203D">
      <w:pPr>
        <w:pStyle w:val="Textoindependiente"/>
        <w:ind w:right="335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7203D" w:rsidTr="00566EB2">
        <w:trPr>
          <w:cantSplit/>
          <w:trHeight w:val="506"/>
        </w:trPr>
        <w:tc>
          <w:tcPr>
            <w:tcW w:w="9923" w:type="dxa"/>
          </w:tcPr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Dirección </w:t>
            </w:r>
          </w:p>
        </w:tc>
      </w:tr>
      <w:tr w:rsidR="0007203D" w:rsidTr="00566EB2">
        <w:trPr>
          <w:cantSplit/>
          <w:trHeight w:val="506"/>
        </w:trPr>
        <w:tc>
          <w:tcPr>
            <w:tcW w:w="9923" w:type="dxa"/>
          </w:tcPr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Actividad(es) explotada(s)</w:t>
            </w:r>
          </w:p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07203D" w:rsidTr="00566EB2">
        <w:trPr>
          <w:cantSplit/>
          <w:trHeight w:val="505"/>
        </w:trPr>
        <w:tc>
          <w:tcPr>
            <w:tcW w:w="9923" w:type="dxa"/>
            <w:tcBorders>
              <w:bottom w:val="single" w:sz="4" w:space="0" w:color="auto"/>
            </w:tcBorders>
          </w:tcPr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Teléfono                                  Fax                   E-MAIL                               Apartado                  </w:t>
            </w:r>
          </w:p>
        </w:tc>
      </w:tr>
      <w:tr w:rsidR="0007203D" w:rsidTr="00566EB2">
        <w:trPr>
          <w:cantSplit/>
          <w:trHeight w:val="506"/>
        </w:trPr>
        <w:tc>
          <w:tcPr>
            <w:tcW w:w="9923" w:type="dxa"/>
          </w:tcPr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Antes                                                                Ahora</w:t>
            </w:r>
          </w:p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07203D" w:rsidTr="00566EB2">
        <w:trPr>
          <w:cantSplit/>
          <w:trHeight w:val="506"/>
        </w:trPr>
        <w:tc>
          <w:tcPr>
            <w:tcW w:w="9923" w:type="dxa"/>
          </w:tcPr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07203D" w:rsidTr="00566EB2">
        <w:trPr>
          <w:cantSplit/>
          <w:trHeight w:val="506"/>
        </w:trPr>
        <w:tc>
          <w:tcPr>
            <w:tcW w:w="9923" w:type="dxa"/>
          </w:tcPr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para recibir notificaciones dentro del perímetro judicial</w:t>
            </w:r>
          </w:p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</w:p>
          <w:p w:rsidR="0007203D" w:rsidRDefault="0007203D" w:rsidP="00566EB2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</w:tbl>
    <w:p w:rsidR="0007203D" w:rsidRDefault="0007203D" w:rsidP="0007203D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spacing w:line="480" w:lineRule="auto"/>
        <w:jc w:val="center"/>
        <w:rPr>
          <w:rFonts w:ascii="Arial" w:hAnsi="Arial" w:cs="Arial"/>
          <w:szCs w:val="24"/>
        </w:rPr>
      </w:pPr>
    </w:p>
    <w:p w:rsidR="0007203D" w:rsidRDefault="0007203D" w:rsidP="0007203D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07203D" w:rsidRDefault="0007203D" w:rsidP="0007203D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N° del solicitante</w:t>
      </w:r>
    </w:p>
    <w:p w:rsidR="0007203D" w:rsidRDefault="0007203D" w:rsidP="0007203D">
      <w:pPr>
        <w:ind w:right="-1"/>
        <w:rPr>
          <w:rFonts w:ascii="Arial" w:hAnsi="Arial" w:cs="Arial"/>
          <w:sz w:val="18"/>
          <w:szCs w:val="22"/>
        </w:rPr>
      </w:pPr>
    </w:p>
    <w:p w:rsidR="0007203D" w:rsidRDefault="006A36EF" w:rsidP="006A36EF">
      <w:p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5157A0">
        <w:rPr>
          <w:rFonts w:ascii="Arial" w:hAnsi="Arial" w:cs="Arial"/>
          <w:snapToGrid w:val="0"/>
          <w:sz w:val="16"/>
          <w:szCs w:val="16"/>
        </w:rPr>
        <w:t xml:space="preserve"> </w:t>
      </w:r>
    </w:p>
    <w:p w:rsidR="001F2FF1" w:rsidRDefault="001F2FF1" w:rsidP="006A36EF">
      <w:pPr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z w:val="16"/>
          <w:szCs w:val="16"/>
        </w:rPr>
        <w:lastRenderedPageBreak/>
        <w:t>En caso de no señalar lugar para notificaciones, todo acto administrativo que sea dictado por la Municipalidad, tendrá su vigencia después de veinticuatro horas</w:t>
      </w: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z w:val="16"/>
          <w:szCs w:val="16"/>
        </w:rPr>
        <w:t xml:space="preserve">La presentación de esta solicitud no acredita a que el cambio pedido se pueda realizar.   Para estos casos se debe contar antes con la aprobación de la Municipalidad.  Para 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 xml:space="preserve">toda licencia Municipal se deberán presentar, </w:t>
      </w:r>
      <w:r w:rsidRPr="009D4CB6">
        <w:rPr>
          <w:rFonts w:ascii="Arial" w:hAnsi="Arial" w:cs="Arial"/>
          <w:b/>
          <w:bCs/>
          <w:snapToGrid w:val="0"/>
          <w:sz w:val="16"/>
          <w:szCs w:val="16"/>
          <w:lang w:val="es-ES_tradnl"/>
        </w:rPr>
        <w:t>los requisitos como mínimo quince días antes de iniciar su operación</w:t>
      </w: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Para explotar una licencia de licores, el local comercial debe encontrarse a 400 metros con respecto a I</w:t>
      </w:r>
      <w:r w:rsidRPr="009D4CB6">
        <w:rPr>
          <w:rFonts w:ascii="Arial" w:hAnsi="Arial" w:cs="Arial"/>
          <w:sz w:val="16"/>
          <w:szCs w:val="16"/>
        </w:rPr>
        <w:t>glesias, instalaciones deportivas abiertas, centros de Salud, centros infantiles de nutrición, guarderías infantiles, escuelas, colegios y establecimientos educativos de enseñanza preescolar, primaria y secundaria, clubes políticos</w:t>
      </w: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  <w:u w:val="single"/>
        </w:rPr>
        <w:t>Para salas de juegos</w:t>
      </w:r>
      <w:r w:rsidRPr="009D4CB6">
        <w:rPr>
          <w:rFonts w:ascii="Arial" w:hAnsi="Arial" w:cs="Arial"/>
          <w:snapToGrid w:val="0"/>
          <w:sz w:val="16"/>
          <w:szCs w:val="16"/>
        </w:rPr>
        <w:t xml:space="preserve"> (</w:t>
      </w:r>
      <w:proofErr w:type="spellStart"/>
      <w:r w:rsidRPr="009D4CB6">
        <w:rPr>
          <w:rFonts w:ascii="Arial" w:hAnsi="Arial" w:cs="Arial"/>
          <w:snapToGrid w:val="0"/>
          <w:sz w:val="16"/>
          <w:szCs w:val="16"/>
        </w:rPr>
        <w:t>pooles</w:t>
      </w:r>
      <w:proofErr w:type="spellEnd"/>
      <w:r w:rsidRPr="009D4CB6">
        <w:rPr>
          <w:rFonts w:ascii="Arial" w:hAnsi="Arial" w:cs="Arial"/>
          <w:snapToGrid w:val="0"/>
          <w:sz w:val="16"/>
          <w:szCs w:val="16"/>
        </w:rPr>
        <w:t>, billares, videos, futbolines, máquinas de peluches) debe ser ubicada mínimo a 80 metros de Iglesias, Centros de Salud y Enseñanza</w:t>
      </w: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Negocios ubicados en segunda planta o más:  deben tener los accesos estructurales necesarios y legales para discapacitados (rampas o ascensores)</w:t>
      </w: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Cuando la ley lo estipule, los espacios para estacionamiento excluyendo áreas de circulación y servicios sanitarios, las medidas mínimas para cada espacio son 5.5*2.60 m, más las áreas para accesos y maniobras correspondientes: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Oficinas públicas y particulares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 más de 200 m2, 1 espacio por cada 100 m2, o fracción mayor de 50 m2 adicionales de área bruta de construcción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Comercio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 más de  100 m2 , 1 espacio por cada 50 m2, o fracción mayor de 25 m2 adicionales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Edificios con facilidad de dormitorio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6 dormitorios o 15 camas, o fracción mayor de 10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Salas de espectáculos y edificios deportivos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20 asientos o personas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Restaurantes y cafeterías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más de 150 m2, 1 espacio por cada 25 m2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Industrias y depósitos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mínimo 1 espacio, con 1 adicional por cada 150 m2 o fracción  mayor de 75 m2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Centros sociales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15 m2 o fracción 8</w:t>
      </w:r>
    </w:p>
    <w:p w:rsidR="001F2FF1" w:rsidRPr="009D4CB6" w:rsidRDefault="001F2FF1" w:rsidP="001F2FF1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b/>
          <w:snapToGrid w:val="0"/>
          <w:sz w:val="16"/>
          <w:szCs w:val="16"/>
          <w:u w:val="single"/>
          <w:lang w:val="es-ES_tradnl"/>
        </w:rPr>
        <w:t>Locales de culto, centros de enseñanza y edificios comunales</w:t>
      </w:r>
      <w:r w:rsidRPr="009D4CB6">
        <w:rPr>
          <w:rFonts w:ascii="Arial" w:hAnsi="Arial" w:cs="Arial"/>
          <w:snapToGrid w:val="0"/>
          <w:sz w:val="16"/>
          <w:szCs w:val="16"/>
          <w:lang w:val="es-ES_tradnl"/>
        </w:rPr>
        <w:t>: 1 espacio por cada 100 m2, o 1 espacio por 40 asientos o personas</w:t>
      </w:r>
    </w:p>
    <w:p w:rsidR="001F2FF1" w:rsidRPr="009D4CB6" w:rsidRDefault="001F2FF1" w:rsidP="001F2FF1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  <w:r w:rsidRPr="009D4CB6">
        <w:rPr>
          <w:rFonts w:ascii="Arial" w:hAnsi="Arial" w:cs="Arial"/>
          <w:snapToGrid w:val="0"/>
          <w:sz w:val="16"/>
          <w:szCs w:val="16"/>
        </w:rPr>
        <w:t>Para restaurante deberá contar con: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Salón comedor con 0.80 m por comensal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Mueble para caja separado del área de comedor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 xml:space="preserve">Mueble para </w:t>
      </w:r>
      <w:proofErr w:type="spellStart"/>
      <w:r w:rsidRPr="009D4CB6">
        <w:rPr>
          <w:rFonts w:ascii="Arial" w:hAnsi="Arial" w:cs="Arial"/>
          <w:snapToGrid w:val="0"/>
          <w:sz w:val="16"/>
          <w:szCs w:val="16"/>
        </w:rPr>
        <w:t>saloneros</w:t>
      </w:r>
      <w:proofErr w:type="spellEnd"/>
      <w:r w:rsidRPr="009D4CB6">
        <w:rPr>
          <w:rFonts w:ascii="Arial" w:hAnsi="Arial" w:cs="Arial"/>
          <w:snapToGrid w:val="0"/>
          <w:sz w:val="16"/>
          <w:szCs w:val="16"/>
        </w:rPr>
        <w:t xml:space="preserve"> en el salón comedor con el equipo necesario y requerido para su trabajo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Área de cocina de al menos 30% del comedor y contar con salida de emergencias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Bodega para líquidos, granos y enlatados, cámaras frigoríficas para mariscos, aves, carnes y legumbres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Carta menú para comidas y bebidas con el respectivo precio</w:t>
      </w:r>
    </w:p>
    <w:p w:rsidR="001F2FF1" w:rsidRPr="009D4CB6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Servicios sanitarios públicos para hombres, mujeres y discapacitados (accesos y dimensiones legales)</w:t>
      </w:r>
    </w:p>
    <w:p w:rsidR="001F2FF1" w:rsidRDefault="001F2FF1" w:rsidP="001F2FF1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9D4CB6">
        <w:rPr>
          <w:rFonts w:ascii="Arial" w:hAnsi="Arial" w:cs="Arial"/>
          <w:snapToGrid w:val="0"/>
          <w:sz w:val="16"/>
          <w:szCs w:val="16"/>
        </w:rPr>
        <w:t>Una o varias entradas para clientes, independiente de la entrada del personal</w:t>
      </w:r>
    </w:p>
    <w:p w:rsidR="001F2FF1" w:rsidRDefault="001F2FF1" w:rsidP="001F2FF1">
      <w:pPr>
        <w:jc w:val="both"/>
        <w:rPr>
          <w:rFonts w:ascii="Arial" w:hAnsi="Arial" w:cs="Arial"/>
          <w:sz w:val="18"/>
          <w:szCs w:val="22"/>
        </w:rPr>
      </w:pPr>
    </w:p>
    <w:p w:rsidR="001F2FF1" w:rsidRPr="0037693E" w:rsidRDefault="001F2FF1" w:rsidP="001F2FF1">
      <w:pPr>
        <w:pStyle w:val="Prrafodelista"/>
        <w:widowControl w:val="0"/>
        <w:numPr>
          <w:ilvl w:val="0"/>
          <w:numId w:val="4"/>
        </w:numPr>
        <w:ind w:right="-1"/>
        <w:contextualSpacing/>
        <w:jc w:val="both"/>
        <w:rPr>
          <w:rFonts w:ascii="Arial" w:hAnsi="Arial" w:cs="Arial"/>
          <w:snapToGrid w:val="0"/>
          <w:sz w:val="16"/>
          <w:szCs w:val="16"/>
        </w:rPr>
      </w:pPr>
      <w:r w:rsidRPr="0037693E">
        <w:rPr>
          <w:rFonts w:ascii="Arial" w:hAnsi="Arial" w:cs="Arial"/>
          <w:snapToGrid w:val="0"/>
          <w:sz w:val="16"/>
          <w:szCs w:val="16"/>
        </w:rPr>
        <w:t xml:space="preserve">El establecimiento comercial debe cumplir con las disposiciones establecidas en la </w:t>
      </w:r>
      <w:r w:rsidRPr="0037693E">
        <w:rPr>
          <w:rFonts w:ascii="Arial" w:hAnsi="Arial" w:cs="Arial"/>
          <w:b/>
          <w:snapToGrid w:val="0"/>
          <w:sz w:val="16"/>
          <w:szCs w:val="16"/>
          <w:u w:val="single"/>
        </w:rPr>
        <w:t>Ley y Reglamento de Igualdad de oportunidades para las personas con discapacidad.</w:t>
      </w:r>
    </w:p>
    <w:p w:rsidR="001F2FF1" w:rsidRPr="009D4CB6" w:rsidRDefault="001F2FF1" w:rsidP="001F2FF1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580150" w:rsidRDefault="00580150" w:rsidP="00580150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Certificación de las condiciones particulares de </w:t>
      </w:r>
      <w:smartTag w:uri="urn:schemas-microsoft-com:office:smarttags" w:element="PersonName">
        <w:smartTagPr>
          <w:attr w:name="ProductID" w:val="la P￳liza"/>
        </w:smartTagPr>
        <w:r>
          <w:rPr>
            <w:rFonts w:ascii="Arial" w:hAnsi="Arial" w:cs="Arial"/>
            <w:snapToGrid w:val="0"/>
            <w:sz w:val="16"/>
            <w:szCs w:val="16"/>
          </w:rPr>
          <w:t>la Póliza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 Riegos Laborales, o en su efecto, constancia de que no requiere póliza, ambas emitidas por el Instituto Nacional de Seguros.</w:t>
      </w:r>
    </w:p>
    <w:p w:rsidR="00580150" w:rsidRDefault="00580150" w:rsidP="00580150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del Permiso de funcionamiento extendido por el Ministerio de Salud o en su efecto, copia del Certificado Veterinario de Operación, emitido por el Servicio Nacional de Salud Animal del Ministerio de Agricultura y Ganadería.</w:t>
      </w:r>
    </w:p>
    <w:p w:rsidR="00580150" w:rsidRDefault="00580150" w:rsidP="00580150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>
          <w:rPr>
            <w:rFonts w:ascii="Arial" w:hAnsi="Arial" w:cs="Arial"/>
            <w:snapToGrid w:val="0"/>
            <w:sz w:val="16"/>
            <w:szCs w:val="16"/>
          </w:rPr>
          <w:t>la Caja Costarricense</w:t>
        </w:r>
      </w:smartTag>
      <w:r>
        <w:rPr>
          <w:rFonts w:ascii="Arial" w:hAnsi="Arial" w:cs="Arial"/>
          <w:snapToGrid w:val="0"/>
          <w:sz w:val="16"/>
          <w:szCs w:val="16"/>
        </w:rPr>
        <w:t xml:space="preserve"> del Seguro Social</w:t>
      </w:r>
    </w:p>
    <w:p w:rsidR="00580150" w:rsidRDefault="00580150" w:rsidP="00580150">
      <w:pPr>
        <w:pStyle w:val="Prrafodelista"/>
        <w:rPr>
          <w:rFonts w:ascii="Arial" w:hAnsi="Arial" w:cs="Arial"/>
          <w:snapToGrid w:val="0"/>
          <w:sz w:val="16"/>
          <w:szCs w:val="16"/>
        </w:rPr>
      </w:pP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 w:rsidRPr="00875FB7">
        <w:rPr>
          <w:rFonts w:ascii="Arial" w:hAnsi="Arial" w:cs="Arial"/>
          <w:snapToGrid w:val="0"/>
          <w:sz w:val="16"/>
          <w:szCs w:val="16"/>
        </w:rPr>
        <w:t xml:space="preserve">Constancia indicando que se encuentra al día con las obligaciones </w:t>
      </w:r>
      <w:r>
        <w:rPr>
          <w:rFonts w:ascii="Arial" w:hAnsi="Arial" w:cs="Arial"/>
          <w:snapToGrid w:val="0"/>
          <w:sz w:val="16"/>
          <w:szCs w:val="16"/>
        </w:rPr>
        <w:t>de FODESAF</w:t>
      </w:r>
    </w:p>
    <w:p w:rsidR="00580150" w:rsidRPr="00875FB7" w:rsidRDefault="00580150" w:rsidP="00580150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El solicitante y el propietario del inmueble en donde se ubica la actividad; deberán estar al día con los tributos municipales.</w:t>
      </w:r>
    </w:p>
    <w:p w:rsidR="00580150" w:rsidRDefault="00580150" w:rsidP="00580150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bookmarkStart w:id="0" w:name="_GoBack"/>
      <w:bookmarkEnd w:id="0"/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Fotocopia de:</w:t>
      </w:r>
    </w:p>
    <w:p w:rsidR="00580150" w:rsidRDefault="00580150" w:rsidP="00580150">
      <w:pPr>
        <w:widowControl w:val="0"/>
        <w:numPr>
          <w:ilvl w:val="0"/>
          <w:numId w:val="8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Cédula de identidad por ambos lados (personas físicas)</w:t>
      </w:r>
    </w:p>
    <w:p w:rsidR="00580150" w:rsidRDefault="00580150" w:rsidP="00580150">
      <w:pPr>
        <w:widowControl w:val="0"/>
        <w:numPr>
          <w:ilvl w:val="0"/>
          <w:numId w:val="8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Certificación de personería jurídica, con un máximo de 3 meses de extendida y autenticada por un abogado;  y cédula de identidad del apoderado (personas jurídicas)</w:t>
      </w:r>
    </w:p>
    <w:p w:rsidR="00580150" w:rsidRDefault="00580150" w:rsidP="00580150">
      <w:pPr>
        <w:widowControl w:val="0"/>
        <w:ind w:right="-1"/>
        <w:jc w:val="both"/>
        <w:rPr>
          <w:rFonts w:ascii="Arial" w:hAnsi="Arial" w:cs="Arial"/>
          <w:snapToGrid w:val="0"/>
          <w:sz w:val="16"/>
          <w:szCs w:val="16"/>
        </w:rPr>
      </w:pPr>
    </w:p>
    <w:p w:rsidR="00580150" w:rsidRDefault="00580150" w:rsidP="00580150">
      <w:pPr>
        <w:widowControl w:val="0"/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Presentar documentos de la propiedad:</w:t>
      </w:r>
    </w:p>
    <w:p w:rsidR="00580150" w:rsidRDefault="00580150" w:rsidP="00580150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dueño:  informe registral vigente y fotocopia del plano catastral</w:t>
      </w:r>
    </w:p>
    <w:p w:rsidR="00580150" w:rsidRDefault="00580150" w:rsidP="00580150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alquilada: original y fotocopia del contrato de arrendamiento, en el cual se identifique el número de la propiedad.</w:t>
      </w:r>
    </w:p>
    <w:p w:rsidR="00580150" w:rsidRDefault="00580150" w:rsidP="00580150">
      <w:pPr>
        <w:widowControl w:val="0"/>
        <w:numPr>
          <w:ilvl w:val="0"/>
          <w:numId w:val="23"/>
        </w:numPr>
        <w:ind w:right="-1"/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Si es prestada:  informe registral y autorización escrita y firmada por el propietario, expresando tal situación</w:t>
      </w:r>
    </w:p>
    <w:p w:rsidR="00580150" w:rsidRPr="006B5A39" w:rsidRDefault="00580150" w:rsidP="00580150">
      <w:pPr>
        <w:jc w:val="both"/>
        <w:rPr>
          <w:rFonts w:ascii="Arial" w:hAnsi="Arial" w:cs="Arial"/>
          <w:sz w:val="16"/>
          <w:szCs w:val="16"/>
        </w:rPr>
      </w:pPr>
    </w:p>
    <w:p w:rsidR="00580150" w:rsidRPr="001C14B9" w:rsidRDefault="00580150" w:rsidP="00580150">
      <w:pPr>
        <w:numPr>
          <w:ilvl w:val="0"/>
          <w:numId w:val="22"/>
        </w:numPr>
        <w:jc w:val="both"/>
        <w:rPr>
          <w:rFonts w:ascii="Arial" w:hAnsi="Arial" w:cs="Arial"/>
          <w:sz w:val="16"/>
          <w:szCs w:val="16"/>
          <w:lang w:val="es-MX"/>
        </w:rPr>
      </w:pPr>
      <w:r w:rsidRPr="001C14B9">
        <w:rPr>
          <w:rFonts w:ascii="Arial" w:hAnsi="Arial" w:cs="Arial"/>
          <w:sz w:val="16"/>
          <w:szCs w:val="16"/>
          <w:lang w:val="es-MX"/>
        </w:rPr>
        <w:t>Certificado original o declaración jurada de extravío</w:t>
      </w:r>
      <w:r w:rsidR="00DB35EF">
        <w:rPr>
          <w:rFonts w:ascii="Arial" w:hAnsi="Arial" w:cs="Arial"/>
          <w:sz w:val="16"/>
          <w:szCs w:val="16"/>
          <w:lang w:val="es-MX"/>
        </w:rPr>
        <w:t>.</w:t>
      </w:r>
    </w:p>
    <w:p w:rsidR="001F2FF1" w:rsidRDefault="001F2FF1" w:rsidP="001F2FF1">
      <w:pPr>
        <w:widowControl w:val="0"/>
        <w:ind w:right="-1"/>
        <w:jc w:val="both"/>
        <w:rPr>
          <w:rFonts w:ascii="Arial" w:hAnsi="Arial" w:cs="Arial"/>
          <w:snapToGrid w:val="0"/>
          <w:sz w:val="18"/>
          <w:szCs w:val="22"/>
        </w:rPr>
      </w:pPr>
    </w:p>
    <w:sectPr w:rsidR="001F2FF1" w:rsidSect="0078197A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F18" w:rsidRDefault="000C1F18" w:rsidP="0007203D">
      <w:r>
        <w:separator/>
      </w:r>
    </w:p>
  </w:endnote>
  <w:endnote w:type="continuationSeparator" w:id="0">
    <w:p w:rsidR="000C1F18" w:rsidRDefault="000C1F18" w:rsidP="0007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FA" w:rsidRDefault="00DE729F" w:rsidP="00616566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570CFA" w:rsidRDefault="00DE729F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="0007203D" w:rsidRPr="00041B37">
        <w:rPr>
          <w:rStyle w:val="Hipervnculo"/>
          <w:rFonts w:ascii="Verdana" w:hAnsi="Verdana"/>
          <w:sz w:val="16"/>
        </w:rPr>
        <w:t>ciat@mpz.go.cr</w:t>
      </w:r>
    </w:hyperlink>
    <w:r>
      <w:rPr>
        <w:rFonts w:ascii="Verdana" w:hAnsi="Verdana"/>
        <w:sz w:val="16"/>
      </w:rPr>
      <w:t xml:space="preserve">   Apartado postal: 274-8000</w:t>
    </w:r>
  </w:p>
  <w:p w:rsidR="00570CFA" w:rsidRDefault="00252C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F18" w:rsidRDefault="000C1F18" w:rsidP="0007203D">
      <w:r>
        <w:separator/>
      </w:r>
    </w:p>
  </w:footnote>
  <w:footnote w:type="continuationSeparator" w:id="0">
    <w:p w:rsidR="000C1F18" w:rsidRDefault="000C1F18" w:rsidP="0007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FA" w:rsidRDefault="00DE729F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sz w:val="32"/>
      </w:rPr>
      <w:t>Municipalidad de Pérez Zeledón</w:t>
    </w:r>
  </w:p>
  <w:p w:rsidR="00570CFA" w:rsidRDefault="00252C0A" w:rsidP="00616566">
    <w:pPr>
      <w:pStyle w:val="Encabezado"/>
      <w:pBdr>
        <w:bottom w:val="single" w:sz="4" w:space="1" w:color="auto"/>
      </w:pBdr>
      <w:jc w:val="center"/>
    </w:pPr>
    <w:r>
      <w:rPr>
        <w:rFonts w:ascii="Verdana" w:hAnsi="Verdana" w:cs="Arial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8pt;margin-top:-28.1pt;width:37.2pt;height:41.85pt;z-index:251660288">
          <v:imagedata r:id="rId1" o:title=""/>
        </v:shape>
        <o:OLEObject Type="Embed" ProgID="MSPhotoEd.3" ShapeID="_x0000_s1025" DrawAspect="Content" ObjectID="_1492423336" r:id="rId2"/>
      </w:object>
    </w:r>
    <w:r w:rsidR="00DE729F"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545"/>
    <w:multiLevelType w:val="hybridMultilevel"/>
    <w:tmpl w:val="B67413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301FE"/>
    <w:multiLevelType w:val="hybridMultilevel"/>
    <w:tmpl w:val="3E8014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24DBA"/>
    <w:multiLevelType w:val="multilevel"/>
    <w:tmpl w:val="2690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ED64F44"/>
    <w:multiLevelType w:val="hybridMultilevel"/>
    <w:tmpl w:val="6BBC960A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D569F7"/>
    <w:multiLevelType w:val="hybridMultilevel"/>
    <w:tmpl w:val="3D6EEE10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D3DAD3C4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92963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AB3079"/>
    <w:multiLevelType w:val="hybridMultilevel"/>
    <w:tmpl w:val="AB486CA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DA56">
      <w:start w:val="1"/>
      <w:numFmt w:val="bullet"/>
      <w:lvlText w:val="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6A5A88"/>
    <w:multiLevelType w:val="hybridMultilevel"/>
    <w:tmpl w:val="6B203708"/>
    <w:lvl w:ilvl="0" w:tplc="7DF8FE1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6236DF"/>
    <w:multiLevelType w:val="hybridMultilevel"/>
    <w:tmpl w:val="819A55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55EE9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025D2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1902318"/>
    <w:multiLevelType w:val="hybridMultilevel"/>
    <w:tmpl w:val="13D07236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076686"/>
    <w:multiLevelType w:val="hybridMultilevel"/>
    <w:tmpl w:val="C6DC8D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A4386"/>
    <w:multiLevelType w:val="hybridMultilevel"/>
    <w:tmpl w:val="5C324D5C"/>
    <w:lvl w:ilvl="0" w:tplc="33A2303C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575D94"/>
    <w:multiLevelType w:val="hybridMultilevel"/>
    <w:tmpl w:val="75304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7E37CE"/>
    <w:multiLevelType w:val="hybridMultilevel"/>
    <w:tmpl w:val="3612B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A65B7A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4942C65"/>
    <w:multiLevelType w:val="hybridMultilevel"/>
    <w:tmpl w:val="D59AEC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077EE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667DB3"/>
    <w:multiLevelType w:val="hybridMultilevel"/>
    <w:tmpl w:val="0A4A0C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751EF"/>
    <w:multiLevelType w:val="hybridMultilevel"/>
    <w:tmpl w:val="F5CE643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14"/>
  </w:num>
  <w:num w:numId="8">
    <w:abstractNumId w:val="17"/>
  </w:num>
  <w:num w:numId="9">
    <w:abstractNumId w:val="6"/>
  </w:num>
  <w:num w:numId="10">
    <w:abstractNumId w:val="20"/>
  </w:num>
  <w:num w:numId="11">
    <w:abstractNumId w:val="10"/>
  </w:num>
  <w:num w:numId="12">
    <w:abstractNumId w:val="7"/>
  </w:num>
  <w:num w:numId="13">
    <w:abstractNumId w:val="13"/>
  </w:num>
  <w:num w:numId="14">
    <w:abstractNumId w:val="21"/>
  </w:num>
  <w:num w:numId="15">
    <w:abstractNumId w:val="15"/>
  </w:num>
  <w:num w:numId="16">
    <w:abstractNumId w:val="12"/>
  </w:num>
  <w:num w:numId="17">
    <w:abstractNumId w:val="19"/>
  </w:num>
  <w:num w:numId="18">
    <w:abstractNumId w:val="0"/>
  </w:num>
  <w:num w:numId="19">
    <w:abstractNumId w:val="9"/>
  </w:num>
  <w:num w:numId="20">
    <w:abstractNumId w:val="16"/>
  </w:num>
  <w:num w:numId="21">
    <w:abstractNumId w:val="3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tUHprLN2k85h1xw/Cjjqqh3/62zPGcCWawa6MVBH6oRzS8rRmi0iSFA9FODCd6GBdlY31UB3JxmA6MOoZLsIzQ==" w:salt="YhvPaJIOMN6Xfkwvh4F1K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03D"/>
    <w:rsid w:val="00051D80"/>
    <w:rsid w:val="0007203D"/>
    <w:rsid w:val="000C1F18"/>
    <w:rsid w:val="001F2FF1"/>
    <w:rsid w:val="00252C0A"/>
    <w:rsid w:val="00301335"/>
    <w:rsid w:val="004009E0"/>
    <w:rsid w:val="00580150"/>
    <w:rsid w:val="005B42F6"/>
    <w:rsid w:val="006A36EF"/>
    <w:rsid w:val="0078197A"/>
    <w:rsid w:val="00911B1E"/>
    <w:rsid w:val="00DB35EF"/>
    <w:rsid w:val="00DB4766"/>
    <w:rsid w:val="00D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5:docId w15:val="{ED6F442D-9705-4761-AD0E-EBB393A2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7203D"/>
    <w:pPr>
      <w:keepNext/>
      <w:outlineLvl w:val="0"/>
    </w:pPr>
    <w:rPr>
      <w:sz w:val="32"/>
      <w:lang w:val="es-MX"/>
    </w:rPr>
  </w:style>
  <w:style w:type="paragraph" w:styleId="Ttulo6">
    <w:name w:val="heading 6"/>
    <w:basedOn w:val="Normal"/>
    <w:next w:val="Normal"/>
    <w:link w:val="Ttulo6Car"/>
    <w:qFormat/>
    <w:rsid w:val="0007203D"/>
    <w:pPr>
      <w:keepNext/>
      <w:tabs>
        <w:tab w:val="left" w:pos="1080"/>
      </w:tabs>
      <w:jc w:val="center"/>
      <w:outlineLvl w:val="5"/>
    </w:pPr>
    <w:rPr>
      <w:rFonts w:ascii="Monotype Corsiva" w:hAnsi="Monotype Corsiva"/>
      <w:color w:val="0000FF"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7203D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character" w:customStyle="1" w:styleId="Ttulo6Car">
    <w:name w:val="Título 6 Car"/>
    <w:basedOn w:val="Fuentedeprrafopredeter"/>
    <w:link w:val="Ttulo6"/>
    <w:rsid w:val="0007203D"/>
    <w:rPr>
      <w:rFonts w:ascii="Monotype Corsiva" w:eastAsia="Times New Roman" w:hAnsi="Monotype Corsiva" w:cs="Times New Roman"/>
      <w:color w:val="0000FF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0720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0720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0720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0720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07203D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7203D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semiHidden/>
    <w:rsid w:val="0007203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720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at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824</Words>
  <Characters>4532</Characters>
  <Application>Microsoft Office Word</Application>
  <DocSecurity>8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</dc:creator>
  <cp:keywords/>
  <dc:description/>
  <cp:lastModifiedBy>Gerald Mora Vargas</cp:lastModifiedBy>
  <cp:revision>7</cp:revision>
  <dcterms:created xsi:type="dcterms:W3CDTF">2010-06-30T13:58:00Z</dcterms:created>
  <dcterms:modified xsi:type="dcterms:W3CDTF">2015-05-06T19:16:00Z</dcterms:modified>
</cp:coreProperties>
</file>