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C64F14" Type="http://schemas.openxmlformats.org/officeDocument/2006/relationships/officeDocument" Target="/word/document.xml" /><Relationship Id="coreR53C64F1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4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Plaza: Técnico 1B “</w:t>
      </w:r>
      <w:r>
        <w:rPr>
          <w:rStyle w:val="C3"/>
          <w:rFonts w:ascii="Arial" w:hAnsi="Arial"/>
          <w:b w:val="1"/>
          <w:sz w:val="28"/>
        </w:rPr>
        <w:t>Recopilador de Información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de Gestión y Control Tributario.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438.100.00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13.143.00 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Segundo año aprobado en una carrera universitaria o parauniversitaria atinente al cargo, según el plan de estudios.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b w:val="1"/>
          <w:sz w:val="32"/>
        </w:rPr>
      </w:pPr>
      <w:r>
        <w:rPr>
          <w:rStyle w:val="C3"/>
          <w:rFonts w:ascii="Arial" w:hAnsi="Arial"/>
          <w:sz w:val="18"/>
        </w:rPr>
        <w:t>Preparación equivalente</w:t>
      </w:r>
      <w:r>
        <w:rPr>
          <w:rStyle w:val="C3"/>
          <w:rFonts w:ascii="Arial" w:hAnsi="Arial"/>
          <w:b w:val="1"/>
          <w:sz w:val="32"/>
        </w:rPr>
        <w:t>*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Dos años de experiencia en actividades afines al cargo.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Licencia de Conducir (A2 o A3)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para  trabajar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Cooperador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Dinámico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orden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para realizar cálculos aritméticos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Atención al  detalle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urgencia.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Servicio al cliente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Relaciones Humanas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Capacitación en el debido proceso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Control interno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  <w:b w:val="1"/>
          <w:sz w:val="28"/>
        </w:rPr>
        <w:t>*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Título de Técnico Medio, o los años de estudios universitarios, por un período de dos a tres años de experiencia en labores relacionadas con el puesto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412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22911A3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6AF795B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418C8287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2D7707C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53D03F74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559EBC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2E6B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5D748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A66C5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81ACD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385CD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46B2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1487A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1C9DB7B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69FD4CD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347D4B2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35582D2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3E8EA44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30766AE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54E10B81"/>
    <w:multiLevelType w:val="hybridMultilevel"/>
    <w:lvl w:ilvl="0" w:tplc="4E2D87A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6D951B2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20A353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1BE7E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F29CA0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3627C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A4BF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387F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B58ED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66236CE"/>
    <w:multiLevelType w:val="hybridMultilevel"/>
    <w:lvl w:ilvl="0" w:tplc="4F571D57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5CB96B92"/>
    <w:multiLevelType w:val="hybridMultilevel"/>
    <w:lvl w:ilvl="0" w:tplc="421DC7B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70FF2A07"/>
    <w:multiLevelType w:val="hybridMultilevel"/>
    <w:lvl w:ilvl="0" w:tplc="14BA592C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185BF061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793FAE5F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5600F612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17DB8DF7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40A2326A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606E3A2B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58E42E0F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4B98367E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0">
    <w:nsid w:val="7A3D3E99"/>
    <w:multiLevelType w:val="hybridMultilevel"/>
    <w:lvl w:ilvl="0" w:tplc="1744EE8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7CBB52BB"/>
    <w:multiLevelType w:val="hybridMultilevel"/>
    <w:lvl w:ilvl="0" w:tplc="5B89D4F4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1B3F1F7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ECED51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6FABC6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7CD66AAF"/>
    <w:multiLevelType w:val="hybridMultilevel"/>
    <w:lvl w:ilvl="0" w:tplc="6A0E51C3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00A21057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7D165EF3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654141E6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6A3E9F59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1A815964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6A1B9238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783DF796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0D2A6DAE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3">
    <w:nsid w:val="7F291A17"/>
    <w:multiLevelType w:val="hybridMultilevel"/>
    <w:lvl w:ilvl="0" w:tplc="1C0D051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1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7"/>
  </w:num>
  <w:num w:numId="15">
    <w:abstractNumId w:val="20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3"/>
  </w:num>
  <w:num w:numId="21">
    <w:abstractNumId w:val="16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2016-07-01T15:38:00Z</dcterms:created>
  <cp:lastModifiedBy>Ruben Mora Vargas</cp:lastModifiedBy>
  <cp:lastPrinted>2015-03-24T20:28:00Z</cp:lastPrinted>
  <dcterms:modified xsi:type="dcterms:W3CDTF">2025-07-28T20:04:20Z</dcterms:modified>
  <cp:revision>4</cp:revision>
  <dc:title> </dc:title>
</cp:coreProperties>
</file>